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Article APA citation:</w:t>
      </w:r>
    </w:p>
    <w:tbl>
      <w:tblPr>
        <w:tblStyle w:val="Table1"/>
        <w:bidi w:val="0"/>
        <w:tblW w:w="10890.0" w:type="dxa"/>
        <w:jc w:val="left"/>
        <w:tblInd w:w="-11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
        <w:gridCol w:w="7134"/>
        <w:gridCol w:w="3122"/>
        <w:tblGridChange w:id="0">
          <w:tblGrid>
            <w:gridCol w:w="634"/>
            <w:gridCol w:w="7134"/>
            <w:gridCol w:w="3122"/>
          </w:tblGrid>
        </w:tblGridChange>
      </w:tblGrid>
      <w:tr>
        <w:tc>
          <w:tcPr>
            <w:gridSpan w:val="2"/>
            <w:shd w:fill="ffcc99"/>
          </w:tcPr>
          <w:p w:rsidR="00000000" w:rsidDel="00000000" w:rsidP="00000000" w:rsidRDefault="00000000" w:rsidRPr="00000000">
            <w:pPr>
              <w:contextualSpacing w:val="0"/>
              <w:jc w:val="center"/>
            </w:pPr>
            <w:r w:rsidDel="00000000" w:rsidR="00000000" w:rsidRPr="00000000">
              <w:rPr>
                <w:b w:val="1"/>
                <w:rtl w:val="0"/>
              </w:rPr>
              <w:t xml:space="preserve">QUALITY INDICATORS</w:t>
            </w:r>
          </w:p>
        </w:tc>
        <w:tc>
          <w:tcPr>
            <w:shd w:fill="ffcc99"/>
          </w:tcPr>
          <w:p w:rsidR="00000000" w:rsidDel="00000000" w:rsidP="00000000" w:rsidRDefault="00000000" w:rsidRPr="00000000">
            <w:pPr>
              <w:contextualSpacing w:val="0"/>
              <w:jc w:val="center"/>
            </w:pPr>
            <w:r w:rsidDel="00000000" w:rsidR="00000000" w:rsidRPr="00000000">
              <w:rPr>
                <w:b w:val="1"/>
                <w:rtl w:val="0"/>
              </w:rPr>
              <w:t xml:space="preserve">RATING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 yes, .5 partial, 0 for none</w:t>
            </w:r>
          </w:p>
          <w:p w:rsidR="00000000" w:rsidDel="00000000" w:rsidP="00000000" w:rsidRDefault="00000000" w:rsidRPr="00000000">
            <w:pPr>
              <w:contextualSpacing w:val="0"/>
              <w:jc w:val="center"/>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1.0</w:t>
            </w:r>
          </w:p>
        </w:tc>
        <w:tc>
          <w:tcPr>
            <w:tcBorders>
              <w:bottom w:color="000000" w:space="0" w:sz="4" w:val="single"/>
            </w:tcBorders>
          </w:tcPr>
          <w:p w:rsidR="00000000" w:rsidDel="00000000" w:rsidP="00000000" w:rsidRDefault="00000000" w:rsidRPr="00000000">
            <w:pPr>
              <w:widowControl w:val="0"/>
              <w:contextualSpacing w:val="0"/>
            </w:pPr>
            <w:r w:rsidDel="00000000" w:rsidR="00000000" w:rsidRPr="00000000">
              <w:rPr>
                <w:rtl w:val="0"/>
              </w:rPr>
              <w:t xml:space="preserve">Context and setting: </w:t>
            </w:r>
            <w:r w:rsidDel="00000000" w:rsidR="00000000" w:rsidRPr="00000000">
              <w:rPr>
                <w:i w:val="1"/>
                <w:rtl w:val="0"/>
              </w:rPr>
              <w:t xml:space="preserve">as relevant to the particular study, for example type of program or classroom, type of school (e.g., public, private, charter, preschool), curriculum, and socioeconomic status.</w:t>
            </w:r>
          </w:p>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2.0</w:t>
            </w:r>
          </w:p>
        </w:tc>
        <w:tc>
          <w:tcPr>
            <w:tcBorders>
              <w:bottom w:color="000000" w:space="0" w:sz="4" w:val="single"/>
            </w:tcBorders>
          </w:tcPr>
          <w:p w:rsidR="00000000" w:rsidDel="00000000" w:rsidP="00000000" w:rsidRDefault="00000000" w:rsidRPr="00000000">
            <w:pPr>
              <w:widowControl w:val="0"/>
              <w:contextualSpacing w:val="0"/>
            </w:pPr>
            <w:r w:rsidDel="00000000" w:rsidR="00000000" w:rsidRPr="00000000">
              <w:rPr>
                <w:rtl w:val="0"/>
              </w:rPr>
              <w:t xml:space="preserve">Participants: </w:t>
            </w:r>
            <w:r w:rsidDel="00000000" w:rsidR="00000000" w:rsidRPr="00000000">
              <w:rPr>
                <w:i w:val="1"/>
                <w:rtl w:val="0"/>
              </w:rPr>
              <w:t xml:space="preserve">general demographics and disability.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3.0</w:t>
            </w:r>
          </w:p>
        </w:tc>
        <w:tc>
          <w:tcPr>
            <w:tcBorders>
              <w:bottom w:color="000000" w:space="0" w:sz="4" w:val="single"/>
            </w:tcBorders>
          </w:tcPr>
          <w:p w:rsidR="00000000" w:rsidDel="00000000" w:rsidP="00000000" w:rsidRDefault="00000000" w:rsidRPr="00000000">
            <w:pPr>
              <w:widowControl w:val="0"/>
              <w:contextualSpacing w:val="0"/>
            </w:pPr>
            <w:r w:rsidDel="00000000" w:rsidR="00000000" w:rsidRPr="00000000">
              <w:rPr>
                <w:rtl w:val="0"/>
              </w:rPr>
              <w:t xml:space="preserve">Intervention agent: </w:t>
            </w:r>
            <w:r w:rsidDel="00000000" w:rsidR="00000000" w:rsidRPr="00000000">
              <w:rPr>
                <w:i w:val="1"/>
                <w:rtl w:val="0"/>
              </w:rPr>
              <w:t xml:space="preserve">role, training, and qualifications.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4.0</w:t>
            </w:r>
          </w:p>
        </w:tc>
        <w:tc>
          <w:tcPr/>
          <w:p w:rsidR="00000000" w:rsidDel="00000000" w:rsidP="00000000" w:rsidRDefault="00000000" w:rsidRPr="00000000">
            <w:pPr>
              <w:widowControl w:val="0"/>
              <w:contextualSpacing w:val="0"/>
            </w:pPr>
            <w:r w:rsidDel="00000000" w:rsidR="00000000" w:rsidRPr="00000000">
              <w:rPr>
                <w:rtl w:val="0"/>
              </w:rPr>
              <w:t xml:space="preserve">Description of practice: </w:t>
            </w:r>
            <w:r w:rsidDel="00000000" w:rsidR="00000000" w:rsidRPr="00000000">
              <w:rPr>
                <w:i w:val="1"/>
                <w:rtl w:val="0"/>
              </w:rPr>
              <w:t xml:space="preserve">practice/intervention, actions, and materials.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5.0</w:t>
            </w:r>
          </w:p>
        </w:tc>
        <w:tc>
          <w:tcPr/>
          <w:p w:rsidR="00000000" w:rsidDel="00000000" w:rsidP="00000000" w:rsidRDefault="00000000" w:rsidRPr="00000000">
            <w:pPr>
              <w:widowControl w:val="0"/>
              <w:contextualSpacing w:val="0"/>
            </w:pPr>
            <w:r w:rsidDel="00000000" w:rsidR="00000000" w:rsidRPr="00000000">
              <w:rPr>
                <w:rtl w:val="0"/>
              </w:rPr>
              <w:t xml:space="preserve">Implementation fidelity: </w:t>
            </w:r>
            <w:r w:rsidDel="00000000" w:rsidR="00000000" w:rsidRPr="00000000">
              <w:rPr>
                <w:i w:val="1"/>
                <w:rtl w:val="0"/>
              </w:rPr>
              <w:t xml:space="preserve">exposure and frequency</w:t>
            </w:r>
            <w:r w:rsidDel="00000000" w:rsidR="00000000" w:rsidRPr="00000000">
              <w:rPr>
                <w:rtl w:val="0"/>
              </w:rPr>
              <w:t xml:space="preserve"> </w:t>
            </w:r>
            <w:r w:rsidDel="00000000" w:rsidR="00000000" w:rsidRPr="00000000">
              <w:rPr>
                <w:i w:val="1"/>
                <w:rtl w:val="0"/>
              </w:rPr>
              <w:t xml:space="preserve">using direct, reliable measures (e.g., observations using a checklist of critical elements of the practice). </w:t>
            </w:r>
          </w:p>
          <w:p w:rsidR="00000000" w:rsidDel="00000000" w:rsidP="00000000" w:rsidRDefault="00000000" w:rsidRPr="00000000">
            <w:pPr>
              <w:widowControl w:val="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6.0*</w:t>
            </w:r>
          </w:p>
        </w:tc>
        <w:tc>
          <w:tcPr/>
          <w:p w:rsidR="00000000" w:rsidDel="00000000" w:rsidP="00000000" w:rsidRDefault="00000000" w:rsidRPr="00000000">
            <w:pPr>
              <w:widowControl w:val="0"/>
              <w:contextualSpacing w:val="0"/>
            </w:pPr>
            <w:r w:rsidDel="00000000" w:rsidR="00000000" w:rsidRPr="00000000">
              <w:rPr>
                <w:rtl w:val="0"/>
              </w:rPr>
              <w:t xml:space="preserve">Internal validity: </w:t>
            </w:r>
            <w:r w:rsidDel="00000000" w:rsidR="00000000" w:rsidRPr="00000000">
              <w:rPr>
                <w:i w:val="1"/>
                <w:rtl w:val="0"/>
              </w:rPr>
              <w:t xml:space="preserve">The independent variable is under the control of the experimenter. The study describes the services provided in control and comparison conditions and phases. The research design provides sufficient evidence that the independent variable causes change in the dependent variable or variables. </w:t>
            </w:r>
          </w:p>
          <w:p w:rsidR="00000000" w:rsidDel="00000000" w:rsidP="00000000" w:rsidRDefault="00000000" w:rsidRPr="00000000">
            <w:pPr>
              <w:widowControl w:val="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7.0</w:t>
            </w:r>
          </w:p>
        </w:tc>
        <w:tc>
          <w:tcPr/>
          <w:p w:rsidR="00000000" w:rsidDel="00000000" w:rsidP="00000000" w:rsidRDefault="00000000" w:rsidRPr="00000000">
            <w:pPr>
              <w:widowControl w:val="0"/>
              <w:contextualSpacing w:val="0"/>
            </w:pPr>
            <w:r w:rsidDel="00000000" w:rsidR="00000000" w:rsidRPr="00000000">
              <w:rPr>
                <w:rtl w:val="0"/>
              </w:rPr>
              <w:t xml:space="preserve">Outcome measures/dependent variables: clearly defines and describes measurement of the dependent variables, reports on effects of intervention on all measures with appropriate frequency and timing, and provides evidence of adequate validity and reliability. </w:t>
            </w:r>
          </w:p>
          <w:p w:rsidR="00000000" w:rsidDel="00000000" w:rsidP="00000000" w:rsidRDefault="00000000" w:rsidRPr="00000000">
            <w:pPr>
              <w:widowControl w:val="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8.0</w:t>
            </w:r>
          </w:p>
        </w:tc>
        <w:tc>
          <w:tcPr/>
          <w:p w:rsidR="00000000" w:rsidDel="00000000" w:rsidP="00000000" w:rsidRDefault="00000000" w:rsidRPr="00000000">
            <w:pPr>
              <w:widowControl w:val="0"/>
              <w:contextualSpacing w:val="0"/>
            </w:pPr>
            <w:r w:rsidDel="00000000" w:rsidR="00000000" w:rsidRPr="00000000">
              <w:rPr>
                <w:rtl w:val="0"/>
              </w:rPr>
              <w:t xml:space="preserve">Data Analysis. </w:t>
            </w:r>
            <w:r w:rsidDel="00000000" w:rsidR="00000000" w:rsidRPr="00000000">
              <w:rPr>
                <w:i w:val="1"/>
                <w:rtl w:val="0"/>
              </w:rPr>
              <w:t xml:space="preserve">Data analysis is conducted appropriately. The study reports information on effect size.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1170" w:right="-1080" w:firstLine="0"/>
        <w:contextualSpacing w:val="0"/>
      </w:pPr>
      <w:r w:rsidDel="00000000" w:rsidR="00000000" w:rsidRPr="00000000">
        <w:rPr>
          <w:rtl w:val="0"/>
        </w:rPr>
        <w:t xml:space="preserve">*</w:t>
      </w:r>
      <w:r w:rsidDel="00000000" w:rsidR="00000000" w:rsidRPr="00000000">
        <w:rPr>
          <w:sz w:val="20"/>
          <w:szCs w:val="20"/>
          <w:rtl w:val="0"/>
        </w:rPr>
        <w:t xml:space="preserve">For 6.0, use .5 for non-RCT research. If study doesn’t describe intervention well, don’t use, but keep file of those read and not met our quality standards</w:t>
      </w:r>
    </w:p>
    <w:p w:rsidR="00000000" w:rsidDel="00000000" w:rsidP="00000000" w:rsidRDefault="00000000" w:rsidRPr="00000000">
      <w:pPr>
        <w:contextualSpacing w:val="0"/>
      </w:pPr>
      <w:r w:rsidDel="00000000" w:rsidR="00000000" w:rsidRPr="00000000">
        <w:rPr>
          <w:rtl w:val="0"/>
        </w:rPr>
        <w:t xml:space="preserve">Adapted from: </w:t>
      </w:r>
      <w:r w:rsidDel="00000000" w:rsidR="00000000" w:rsidRPr="00000000">
        <w:rPr>
          <w:sz w:val="23"/>
          <w:szCs w:val="23"/>
          <w:highlight w:val="white"/>
          <w:rtl w:val="0"/>
        </w:rPr>
        <w:t xml:space="preserve">Council for Exceptional Children, (2014). Council for Exceptional Children: Standards for evidence-based practices in special education,</w:t>
      </w:r>
      <w:r w:rsidDel="00000000" w:rsidR="00000000" w:rsidRPr="00000000">
        <w:rPr>
          <w:i w:val="1"/>
          <w:sz w:val="23"/>
          <w:szCs w:val="23"/>
          <w:highlight w:val="white"/>
          <w:rtl w:val="0"/>
        </w:rPr>
        <w:t xml:space="preserve"> Exceptional Children, 80</w:t>
      </w:r>
      <w:r w:rsidDel="00000000" w:rsidR="00000000" w:rsidRPr="00000000">
        <w:rPr>
          <w:sz w:val="23"/>
          <w:szCs w:val="23"/>
          <w:highlight w:val="white"/>
          <w:rtl w:val="0"/>
        </w:rPr>
        <w:t xml:space="preserve">(4), 504-511. doi: 10.1177/0014402914531388</w:t>
      </w:r>
      <w:r w:rsidDel="00000000" w:rsidR="00000000" w:rsidRPr="00000000">
        <w:rPr>
          <w:rtl w:val="0"/>
        </w:rPr>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bl>
    <w:tblPr>
      <w:tblStyle w:val="Table2"/>
      <w:bidi w:val="0"/>
      <w:tblW w:w="8640.0" w:type="dxa"/>
      <w:jc w:val="right"/>
      <w:tblLayout w:type="fixed"/>
      <w:tblLook w:val="0600"/>
    </w:tblPr>
    <w:tblGrid>
      <w:gridCol w:w="4320"/>
      <w:gridCol w:w="4320"/>
      <w:tblGridChange w:id="0">
        <w:tblGrid>
          <w:gridCol w:w="4320"/>
          <w:gridCol w:w="4320"/>
        </w:tblGrid>
      </w:tblGridChange>
    </w:tblGrid>
    <w:tr>
      <w:tc>
        <w:tcPr>
          <w:tcBorders>
            <w:right w:color="000000" w:space="0" w:sz="0" w:val="nil"/>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drawing>
              <wp:inline distB="114300" distT="114300" distL="114300" distR="114300">
                <wp:extent cx="870266" cy="333466"/>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70266" cy="333466"/>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
            <w:r w:rsidDel="00000000" w:rsidR="00000000" w:rsidRPr="00000000">
              <w:rPr>
                <w:rFonts w:ascii="Raleway" w:cs="Raleway" w:eastAsia="Raleway" w:hAnsi="Raleway"/>
                <w:sz w:val="16"/>
                <w:szCs w:val="16"/>
                <w:rtl w:val="0"/>
              </w:rPr>
              <w:t xml:space="preserve">behaviormarinselpa.org</w:t>
            </w:r>
          </w:hyperlink>
          <w:r w:rsidDel="00000000" w:rsidR="00000000" w:rsidRPr="00000000">
            <w:rPr>
              <w:rtl w:val="0"/>
            </w:rPr>
          </w:r>
        </w:p>
      </w:tc>
    </w:tr>
  </w:tbl>
  <w:p w:rsidR="00000000" w:rsidDel="00000000" w:rsidP="00000000" w:rsidRDefault="00000000" w:rsidRPr="00000000">
    <w:pPr>
      <w:contextualSpacing w:val="0"/>
      <w:jc w:val="righ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hyperlink" Target="http://www.behaviormarinselpa.org" TargetMode="External"/></Relationships>
</file>